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C5" w:rsidRDefault="00D022C5" w:rsidP="00D022C5">
      <w:pPr>
        <w:autoSpaceDE w:val="0"/>
        <w:autoSpaceDN w:val="0"/>
        <w:adjustRightInd w:val="0"/>
        <w:spacing w:after="0" w:line="240" w:lineRule="auto"/>
        <w:rPr>
          <w:rFonts w:ascii="Book Antiqua,Bold" w:hAnsi="Book Antiqua,Bold" w:cs="Book Antiqua,Bold"/>
          <w:b/>
          <w:bCs/>
          <w:sz w:val="24"/>
          <w:szCs w:val="24"/>
        </w:rPr>
      </w:pPr>
      <w:r>
        <w:rPr>
          <w:rFonts w:ascii="Book Antiqua,Bold" w:hAnsi="Book Antiqua,Bold" w:cs="Book Antiqua,Bold"/>
          <w:b/>
          <w:bCs/>
          <w:sz w:val="24"/>
          <w:szCs w:val="24"/>
        </w:rPr>
        <w:t>A</w:t>
      </w:r>
      <w:r>
        <w:rPr>
          <w:rFonts w:ascii="Book Antiqua,Bold" w:hAnsi="Book Antiqua,Bold" w:cs="Book Antiqua,Bold"/>
          <w:b/>
          <w:bCs/>
          <w:sz w:val="19"/>
          <w:szCs w:val="19"/>
        </w:rPr>
        <w:t xml:space="preserve">LLEGATO </w:t>
      </w:r>
      <w:r>
        <w:rPr>
          <w:rFonts w:ascii="Book Antiqua,Bold" w:hAnsi="Book Antiqua,Bold" w:cs="Book Antiqua,Bold"/>
          <w:b/>
          <w:bCs/>
          <w:sz w:val="24"/>
          <w:szCs w:val="24"/>
        </w:rPr>
        <w:t>A</w:t>
      </w:r>
    </w:p>
    <w:p w:rsidR="00D022C5" w:rsidRDefault="00D022C5" w:rsidP="00D022C5">
      <w:pPr>
        <w:autoSpaceDE w:val="0"/>
        <w:autoSpaceDN w:val="0"/>
        <w:adjustRightInd w:val="0"/>
        <w:spacing w:after="0" w:line="240" w:lineRule="auto"/>
        <w:rPr>
          <w:rFonts w:ascii="Book Antiqua,Bold" w:hAnsi="Book Antiqua,Bold" w:cs="Book Antiqua,Bold"/>
          <w:b/>
          <w:bCs/>
          <w:sz w:val="19"/>
          <w:szCs w:val="19"/>
        </w:rPr>
      </w:pPr>
      <w:r>
        <w:rPr>
          <w:rFonts w:ascii="Book Antiqua,Bold" w:hAnsi="Book Antiqua,Bold" w:cs="Book Antiqua,Bold"/>
          <w:b/>
          <w:bCs/>
          <w:sz w:val="24"/>
          <w:szCs w:val="24"/>
        </w:rPr>
        <w:t>T</w:t>
      </w:r>
      <w:r>
        <w:rPr>
          <w:rFonts w:ascii="Book Antiqua,Bold" w:hAnsi="Book Antiqua,Bold" w:cs="Book Antiqua,Bold"/>
          <w:b/>
          <w:bCs/>
          <w:sz w:val="19"/>
          <w:szCs w:val="19"/>
        </w:rPr>
        <w:t xml:space="preserve">ABELLA </w:t>
      </w:r>
      <w:proofErr w:type="spellStart"/>
      <w:r>
        <w:rPr>
          <w:rFonts w:ascii="Book Antiqua,Bold" w:hAnsi="Book Antiqua,Bold" w:cs="Book Antiqua,Bold"/>
          <w:b/>
          <w:bCs/>
          <w:sz w:val="19"/>
          <w:szCs w:val="19"/>
        </w:rPr>
        <w:t>DI</w:t>
      </w:r>
      <w:proofErr w:type="spellEnd"/>
      <w:r>
        <w:rPr>
          <w:rFonts w:ascii="Book Antiqua,Bold" w:hAnsi="Book Antiqua,Bold" w:cs="Book Antiqua,Bold"/>
          <w:b/>
          <w:bCs/>
          <w:sz w:val="19"/>
          <w:szCs w:val="19"/>
        </w:rPr>
        <w:t xml:space="preserve"> VALUTAZIONE DEI TITOLI</w:t>
      </w:r>
    </w:p>
    <w:p w:rsidR="00D022C5" w:rsidRDefault="00D022C5" w:rsidP="00D022C5">
      <w:pPr>
        <w:autoSpaceDE w:val="0"/>
        <w:autoSpaceDN w:val="0"/>
        <w:adjustRightInd w:val="0"/>
        <w:spacing w:after="0" w:line="240" w:lineRule="auto"/>
        <w:rPr>
          <w:rFonts w:ascii="Book Antiqua,Bold" w:hAnsi="Book Antiqua,Bold" w:cs="Book Antiqua,Bold"/>
          <w:b/>
          <w:bCs/>
          <w:sz w:val="24"/>
          <w:szCs w:val="24"/>
        </w:rPr>
      </w:pPr>
      <w:r>
        <w:rPr>
          <w:rFonts w:ascii="Book Antiqua,Bold" w:hAnsi="Book Antiqua,Bold" w:cs="Book Antiqua,Bold"/>
          <w:b/>
          <w:bCs/>
          <w:sz w:val="24"/>
          <w:szCs w:val="24"/>
        </w:rPr>
        <w:t>Avvertenze di cui alle Tabelle A/1 - A/2 - A/3 – A/4 – A/5</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A) </w:t>
      </w:r>
      <w:r>
        <w:rPr>
          <w:rFonts w:ascii="Book Antiqua" w:hAnsi="Book Antiqua" w:cs="Book Antiqua"/>
          <w:sz w:val="24"/>
          <w:szCs w:val="24"/>
        </w:rPr>
        <w:t>Il servizio militare di leva e i servizi sostitutivi assimilati per legge, prestati in costanza di rapporto di impiego, sono considerati servizio effettivo reso nella medesima qualifica.</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Il servizio militare di leva e i servizi sostitutivi assimilati per legge, prestati non in costanza di rapporto di impiego, sono considerati come servizio reso alle dipendenze delle</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amministrazioni statali.</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B) </w:t>
      </w:r>
      <w:r>
        <w:rPr>
          <w:rFonts w:ascii="Book Antiqua" w:hAnsi="Book Antiqua" w:cs="Book Antiqua"/>
          <w:sz w:val="24"/>
          <w:szCs w:val="24"/>
        </w:rPr>
        <w:t>Il servizio prestato nelle istituzioni scolastiche e culturali italiane all’estero con atto di nomina dell’Amministrazione degli affari esteri secondo le vigenti modalità di conferimento, è valutato alle medesime condizioni dei corrispondenti servizi prestati nel</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territorio nazionale.</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C) </w:t>
      </w:r>
      <w:r>
        <w:rPr>
          <w:rFonts w:ascii="Book Antiqua" w:hAnsi="Book Antiqua" w:cs="Book Antiqua"/>
          <w:sz w:val="24"/>
          <w:szCs w:val="24"/>
        </w:rPr>
        <w:t>Il servizio effettuato nelle qualifiche del personale non docente di cui al D.P.R. n.420/74 e nei profili professionali di cui al D.P.R. n.588/85 è considerato a tutti gli effetti come servizio prestato nei corrispondenti, vigenti profili professionali.</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D) </w:t>
      </w:r>
      <w:r>
        <w:rPr>
          <w:rFonts w:ascii="Book Antiqua" w:hAnsi="Book Antiqua" w:cs="Book Antiqua"/>
          <w:sz w:val="24"/>
          <w:szCs w:val="24"/>
        </w:rPr>
        <w:t>I titoli che sono oggetto di valutazione ai sensi di un punto precedente della medesima tabella non possono essere presi in considerazione ai fini dei punteggi successivamente previsti. La valutazione di un titolo di studio o di un attestato esclude la possibilità di assegnare punteggi riferiti al corso o alle prove in  base ai quali il titolo o l’attestato è stato conseguito.</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E) </w:t>
      </w:r>
      <w:r>
        <w:rPr>
          <w:rFonts w:ascii="Book Antiqua" w:hAnsi="Book Antiqua" w:cs="Book Antiqua"/>
          <w:sz w:val="24"/>
          <w:szCs w:val="24"/>
        </w:rPr>
        <w:t>Nei confronti di coloro che producano il diploma di istruzione secondaria di primo grado integrato da attestato regionale rilasciato ai sensi dell’art. 14 della legge n. 845/78, di cui al precedente ordinamento, il punteggio è attribuito con riferimento al diploma di scuola media.</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F) </w:t>
      </w:r>
      <w:r>
        <w:rPr>
          <w:rFonts w:ascii="Book Antiqua" w:hAnsi="Book Antiqua" w:cs="Book Antiqua"/>
          <w:sz w:val="24"/>
          <w:szCs w:val="24"/>
        </w:rPr>
        <w:t>Qualora il servizio sia stato prestato in scuole non statali paritarie, in scuole dell’infanzia non statali autorizzate, in scuole parificate, convenzionate, sussidiarie o sussidiate, in scuole di istruzione secondaria o artistica non statali pareggiate,</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legalmente riconosciute, il punteggio assegnato al servizio è ridotto alla metà. Tale servizio non costituisce requisito di accesso.</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G) </w:t>
      </w:r>
      <w:r>
        <w:rPr>
          <w:rFonts w:ascii="Book Antiqua" w:hAnsi="Book Antiqua" w:cs="Book Antiqua"/>
          <w:sz w:val="24"/>
          <w:szCs w:val="24"/>
        </w:rPr>
        <w:t>Al fine di ottenere una valutazione senza frazioni di punto inferiori al centesimo, nell’ipotesi di presenza di più di due cifre decimali, deve effettuarsi l’arrotondamento alla seconda cifra decimale, tenendo conto della terza cifra dopo la virgola.</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L’arrotondamento viene eseguito nel seguente modo:</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se la terza cifra decimale è uguale o maggiore di 5, la seconda cifra decimale va arrotondata al centesimo superiore ( Es. 7,166 va arrotondato a 7,17);</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 w:hAnsi="Book Antiqua" w:cs="Book Antiqua"/>
          <w:sz w:val="24"/>
          <w:szCs w:val="24"/>
        </w:rPr>
        <w:t>- se la terza cifra decimale è minore di 5, la seconda cifra decimale resta invariata ( Es. 6,833 va arrotondato a 6,83);</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H) </w:t>
      </w:r>
      <w:r>
        <w:rPr>
          <w:rFonts w:ascii="Book Antiqua" w:hAnsi="Book Antiqua" w:cs="Book Antiqua"/>
          <w:sz w:val="24"/>
          <w:szCs w:val="24"/>
        </w:rPr>
        <w:t>Nei confronti di tutti i candidati il punteggio per qualsiasi tipologia di servizio prestato con rapporto di lavoro a tempo parziale è valutato per intero secondo i valori espressi nella corrispondente tabella di valutazione dei titoli.</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I) </w:t>
      </w:r>
      <w:r>
        <w:rPr>
          <w:rFonts w:ascii="Book Antiqua" w:hAnsi="Book Antiqua" w:cs="Book Antiqua"/>
          <w:sz w:val="24"/>
          <w:szCs w:val="24"/>
        </w:rPr>
        <w:t>La preferenza Q va assegnata in presenza di un certificato di servizio per non meno di un anno, prestato presso il Ministero dell’ Istruzione, indipendentemente dall’attestazione del lodevole servizio.</w:t>
      </w:r>
    </w:p>
    <w:p w:rsidR="00D022C5" w:rsidRDefault="00D022C5" w:rsidP="00D022C5">
      <w:pPr>
        <w:autoSpaceDE w:val="0"/>
        <w:autoSpaceDN w:val="0"/>
        <w:adjustRightInd w:val="0"/>
        <w:spacing w:after="0" w:line="240" w:lineRule="auto"/>
        <w:rPr>
          <w:rFonts w:ascii="Book Antiqua" w:hAnsi="Book Antiqua" w:cs="Book Antiqua"/>
          <w:sz w:val="24"/>
          <w:szCs w:val="24"/>
        </w:rPr>
      </w:pPr>
      <w:r>
        <w:rPr>
          <w:rFonts w:ascii="Book Antiqua,Bold" w:hAnsi="Book Antiqua,Bold" w:cs="Book Antiqua,Bold"/>
          <w:b/>
          <w:bCs/>
          <w:sz w:val="24"/>
          <w:szCs w:val="24"/>
        </w:rPr>
        <w:t xml:space="preserve">L) </w:t>
      </w:r>
      <w:r>
        <w:rPr>
          <w:rFonts w:ascii="Book Antiqua" w:hAnsi="Book Antiqua" w:cs="Book Antiqua"/>
          <w:sz w:val="24"/>
          <w:szCs w:val="24"/>
        </w:rPr>
        <w:t>I figli, anche se naturali riconosciuti, adottivi, affidati o affiliati sono considerati a carico se nell’anno 2010 non hanno posseduto redditi che nel loro insieme concorressero alla formazione del reddito complessivo per un ammontare superiore a €. 2.840,51 -</w:t>
      </w:r>
    </w:p>
    <w:p w:rsidR="00D022C5" w:rsidRDefault="00D022C5" w:rsidP="00D022C5">
      <w:pPr>
        <w:autoSpaceDE w:val="0"/>
        <w:autoSpaceDN w:val="0"/>
        <w:adjustRightInd w:val="0"/>
        <w:spacing w:after="0" w:line="240" w:lineRule="auto"/>
        <w:rPr>
          <w:rFonts w:ascii="Times New Roman" w:hAnsi="Times New Roman" w:cs="Times New Roman"/>
          <w:sz w:val="20"/>
          <w:szCs w:val="20"/>
        </w:rPr>
      </w:pPr>
    </w:p>
    <w:p w:rsidR="006242CE" w:rsidRDefault="006242CE"/>
    <w:sectPr w:rsidR="006242CE" w:rsidSect="006242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22C5"/>
    <w:rsid w:val="006242CE"/>
    <w:rsid w:val="00D022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22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114</dc:creator>
  <cp:lastModifiedBy>Aula 114</cp:lastModifiedBy>
  <cp:revision>1</cp:revision>
  <dcterms:created xsi:type="dcterms:W3CDTF">2011-11-30T07:50:00Z</dcterms:created>
  <dcterms:modified xsi:type="dcterms:W3CDTF">2011-11-30T07:51:00Z</dcterms:modified>
</cp:coreProperties>
</file>