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01"/>
      </w:tblGrid>
      <w:tr w:rsidR="008A4B5E" w:rsidRPr="008A4B5E" w:rsidTr="008A4B5E">
        <w:tc>
          <w:tcPr>
            <w:tcW w:w="1384" w:type="dxa"/>
          </w:tcPr>
          <w:p w:rsidR="008A4B5E" w:rsidRPr="008A4B5E" w:rsidRDefault="008A4B5E" w:rsidP="008A4B5E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noProof/>
                <w:sz w:val="16"/>
                <w:szCs w:val="16"/>
              </w:rPr>
              <w:drawing>
                <wp:inline distT="0" distB="0" distL="0" distR="0">
                  <wp:extent cx="653811" cy="281187"/>
                  <wp:effectExtent l="19050" t="0" r="0" b="0"/>
                  <wp:docPr id="17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36" cy="28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8A4B5E" w:rsidRPr="008A4B5E" w:rsidRDefault="008A4B5E" w:rsidP="00D418D4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Cattolica</w:t>
            </w:r>
            <w:r w:rsidR="007D44E0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 xml:space="preserve">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Eraclea</w:t>
            </w:r>
            <w:proofErr w:type="spellEnd"/>
            <w:r w:rsidRPr="008A4B5E">
              <w:rPr>
                <w:rFonts w:ascii="Garamond" w:hAnsi="Garamond"/>
                <w:b/>
                <w:i/>
                <w:color w:val="800000"/>
                <w:spacing w:val="80"/>
                <w:sz w:val="16"/>
                <w:szCs w:val="16"/>
              </w:rPr>
              <w:t xml:space="preserve"> 2012</w:t>
            </w:r>
            <w:r>
              <w:rPr>
                <w:b/>
                <w:i/>
                <w:color w:val="808080"/>
                <w:sz w:val="16"/>
                <w:szCs w:val="16"/>
              </w:rPr>
              <w:t xml:space="preserve">               </w:t>
            </w: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</w:rPr>
              <w:t>Associazione di Cultura,</w:t>
            </w:r>
          </w:p>
          <w:p w:rsidR="008A4B5E" w:rsidRPr="008A4B5E" w:rsidRDefault="008A4B5E" w:rsidP="00B414CA">
            <w:pPr>
              <w:jc w:val="right"/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 xml:space="preserve"> ricreazione e promozione di Cattolica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>Eraclea</w:t>
            </w:r>
            <w:proofErr w:type="spellEnd"/>
          </w:p>
        </w:tc>
      </w:tr>
    </w:tbl>
    <w:p w:rsidR="008A4B5E" w:rsidRDefault="008A4B5E" w:rsidP="008A4B5E">
      <w:pPr>
        <w:spacing w:after="0" w:line="240" w:lineRule="auto"/>
        <w:rPr>
          <w:rFonts w:ascii="Arial Black" w:hAnsi="Arial Black"/>
          <w:color w:val="FF33CC"/>
          <w:sz w:val="16"/>
          <w:szCs w:val="16"/>
        </w:rPr>
      </w:pPr>
    </w:p>
    <w:p w:rsidR="008A4B5E" w:rsidRDefault="008A4B5E" w:rsidP="008A4B5E">
      <w:pPr>
        <w:spacing w:after="0" w:line="240" w:lineRule="auto"/>
      </w:pPr>
      <w:proofErr w:type="spellStart"/>
      <w:r w:rsidRPr="008A4B5E">
        <w:rPr>
          <w:rFonts w:ascii="Arial Black" w:hAnsi="Arial Black"/>
          <w:color w:val="FF33CC"/>
          <w:sz w:val="32"/>
          <w:szCs w:val="32"/>
        </w:rPr>
        <w:t>PARLIAMONE</w:t>
      </w:r>
      <w:r w:rsidRPr="00414CB4">
        <w:rPr>
          <w:rFonts w:ascii="Book Antiqua" w:hAnsi="Book Antiqua"/>
          <w:b/>
          <w:color w:val="C00000"/>
        </w:rPr>
        <w:t>ora</w:t>
      </w:r>
      <w:proofErr w:type="spellEnd"/>
      <w:r>
        <w:t>:</w:t>
      </w:r>
    </w:p>
    <w:p w:rsidR="008A4B5E" w:rsidRDefault="008A4B5E" w:rsidP="008A4B5E">
      <w:pPr>
        <w:spacing w:after="0" w:line="240" w:lineRule="auto"/>
        <w:rPr>
          <w:rFonts w:ascii="Bernard MT Condensed" w:hAnsi="Bernard MT Condensed"/>
        </w:rPr>
      </w:pPr>
    </w:p>
    <w:p w:rsidR="008A4B5E" w:rsidRPr="008A4B5E" w:rsidRDefault="008A4B5E" w:rsidP="008A4B5E">
      <w:pPr>
        <w:spacing w:after="0" w:line="240" w:lineRule="auto"/>
        <w:jc w:val="right"/>
        <w:rPr>
          <w:b/>
          <w:sz w:val="16"/>
          <w:szCs w:val="16"/>
        </w:rPr>
      </w:pPr>
      <w:r w:rsidRPr="008A4B5E">
        <w:rPr>
          <w:b/>
          <w:sz w:val="16"/>
          <w:szCs w:val="16"/>
        </w:rPr>
        <w:t xml:space="preserve">Platone e Sant’Agostino, </w:t>
      </w:r>
    </w:p>
    <w:p w:rsidR="008A4B5E" w:rsidRPr="008A4B5E" w:rsidRDefault="008A4B5E" w:rsidP="008A4B5E">
      <w:pPr>
        <w:spacing w:after="0" w:line="240" w:lineRule="auto"/>
        <w:jc w:val="right"/>
        <w:rPr>
          <w:b/>
          <w:sz w:val="16"/>
          <w:szCs w:val="16"/>
        </w:rPr>
      </w:pPr>
      <w:r w:rsidRPr="008A4B5E">
        <w:rPr>
          <w:b/>
          <w:sz w:val="16"/>
          <w:szCs w:val="16"/>
        </w:rPr>
        <w:t>due snodi fondamentali della Civiltà Occidentale.</w:t>
      </w:r>
    </w:p>
    <w:p w:rsidR="008A4B5E" w:rsidRDefault="008A4B5E" w:rsidP="008A4B5E">
      <w:pPr>
        <w:spacing w:after="0"/>
      </w:pPr>
    </w:p>
    <w:p w:rsidR="008A4B5E" w:rsidRPr="008A4B5E" w:rsidRDefault="008A4B5E" w:rsidP="00FE0BB8">
      <w:pPr>
        <w:pStyle w:val="Paragrafoelenco"/>
        <w:numPr>
          <w:ilvl w:val="0"/>
          <w:numId w:val="1"/>
        </w:numPr>
        <w:spacing w:after="100" w:afterAutospacing="1" w:line="240" w:lineRule="auto"/>
        <w:ind w:left="426" w:right="283" w:hanging="284"/>
        <w:jc w:val="both"/>
        <w:rPr>
          <w:sz w:val="16"/>
          <w:szCs w:val="16"/>
        </w:rPr>
      </w:pPr>
      <w:r w:rsidRPr="008A4B5E">
        <w:rPr>
          <w:sz w:val="16"/>
          <w:szCs w:val="16"/>
        </w:rPr>
        <w:t xml:space="preserve">Il processo a Socrate, avvenuto nel 399 </w:t>
      </w:r>
      <w:proofErr w:type="spellStart"/>
      <w:r w:rsidRPr="008A4B5E">
        <w:rPr>
          <w:sz w:val="16"/>
          <w:szCs w:val="16"/>
        </w:rPr>
        <w:t>aC</w:t>
      </w:r>
      <w:proofErr w:type="spellEnd"/>
      <w:r w:rsidRPr="008A4B5E">
        <w:rPr>
          <w:sz w:val="16"/>
          <w:szCs w:val="16"/>
        </w:rPr>
        <w:t xml:space="preserve"> ad Atene, così come risulta raccontato nell’Apologia di Socrate di Platone.</w:t>
      </w:r>
    </w:p>
    <w:p w:rsidR="008A4B5E" w:rsidRDefault="008A4B5E" w:rsidP="00FE0BB8">
      <w:pPr>
        <w:pStyle w:val="Paragrafoelenco"/>
        <w:numPr>
          <w:ilvl w:val="0"/>
          <w:numId w:val="1"/>
        </w:numPr>
        <w:spacing w:after="100" w:afterAutospacing="1" w:line="240" w:lineRule="auto"/>
        <w:ind w:left="426" w:right="283" w:hanging="284"/>
        <w:jc w:val="both"/>
        <w:rPr>
          <w:sz w:val="16"/>
          <w:szCs w:val="16"/>
        </w:rPr>
      </w:pPr>
      <w:r w:rsidRPr="008A4B5E">
        <w:rPr>
          <w:sz w:val="16"/>
          <w:szCs w:val="16"/>
        </w:rPr>
        <w:t xml:space="preserve">Il Concilio di </w:t>
      </w:r>
      <w:proofErr w:type="spellStart"/>
      <w:r w:rsidRPr="008A4B5E">
        <w:rPr>
          <w:sz w:val="16"/>
          <w:szCs w:val="16"/>
        </w:rPr>
        <w:t>Cartagine</w:t>
      </w:r>
      <w:proofErr w:type="spellEnd"/>
      <w:r w:rsidRPr="008A4B5E">
        <w:rPr>
          <w:sz w:val="16"/>
          <w:szCs w:val="16"/>
        </w:rPr>
        <w:t xml:space="preserve"> del 418 </w:t>
      </w:r>
      <w:proofErr w:type="spellStart"/>
      <w:r w:rsidRPr="008A4B5E">
        <w:rPr>
          <w:sz w:val="16"/>
          <w:szCs w:val="16"/>
        </w:rPr>
        <w:t>dC</w:t>
      </w:r>
      <w:proofErr w:type="spellEnd"/>
      <w:r w:rsidRPr="008A4B5E">
        <w:rPr>
          <w:sz w:val="16"/>
          <w:szCs w:val="16"/>
        </w:rPr>
        <w:t xml:space="preserve"> (decreto sul peccato originale e sulla grazia) attraverso l’opera di sant’Agostino di </w:t>
      </w:r>
      <w:proofErr w:type="spellStart"/>
      <w:r w:rsidRPr="008A4B5E">
        <w:rPr>
          <w:sz w:val="16"/>
          <w:szCs w:val="16"/>
        </w:rPr>
        <w:t>Ippona</w:t>
      </w:r>
      <w:proofErr w:type="spellEnd"/>
      <w:r w:rsidRPr="008A4B5E">
        <w:rPr>
          <w:sz w:val="16"/>
          <w:szCs w:val="16"/>
        </w:rPr>
        <w:t xml:space="preserve">, con speciale riferimento al suo De </w:t>
      </w:r>
      <w:proofErr w:type="spellStart"/>
      <w:r w:rsidRPr="008A4B5E">
        <w:rPr>
          <w:sz w:val="16"/>
          <w:szCs w:val="16"/>
        </w:rPr>
        <w:t>Civitate</w:t>
      </w:r>
      <w:proofErr w:type="spellEnd"/>
      <w:r w:rsidRPr="008A4B5E">
        <w:rPr>
          <w:sz w:val="16"/>
          <w:szCs w:val="16"/>
        </w:rPr>
        <w:t xml:space="preserve"> Dei (la città di Dio).</w:t>
      </w:r>
    </w:p>
    <w:p w:rsidR="008A4B5E" w:rsidRDefault="008A4B5E" w:rsidP="008A4B5E">
      <w:pPr>
        <w:pStyle w:val="Paragrafoelenco"/>
        <w:spacing w:after="100" w:afterAutospacing="1" w:line="240" w:lineRule="auto"/>
        <w:ind w:left="426" w:right="283"/>
        <w:jc w:val="both"/>
        <w:rPr>
          <w:sz w:val="16"/>
          <w:szCs w:val="16"/>
        </w:rPr>
      </w:pPr>
    </w:p>
    <w:p w:rsidR="008A4B5E" w:rsidRDefault="008A4B5E" w:rsidP="008A4B5E">
      <w:pPr>
        <w:pStyle w:val="Paragrafoelenco"/>
        <w:spacing w:after="100" w:afterAutospacing="1" w:line="240" w:lineRule="auto"/>
        <w:ind w:left="142" w:right="283"/>
        <w:jc w:val="center"/>
        <w:rPr>
          <w:sz w:val="16"/>
          <w:szCs w:val="16"/>
        </w:rPr>
      </w:pPr>
      <w:r w:rsidRPr="008A4B5E">
        <w:rPr>
          <w:noProof/>
          <w:sz w:val="16"/>
          <w:szCs w:val="16"/>
        </w:rPr>
        <w:drawing>
          <wp:inline distT="0" distB="0" distL="0" distR="0">
            <wp:extent cx="2520315" cy="1645796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645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B5E" w:rsidRDefault="008A4B5E" w:rsidP="00B52CB2">
      <w:pPr>
        <w:spacing w:after="0" w:line="240" w:lineRule="auto"/>
        <w:ind w:left="284"/>
        <w:jc w:val="both"/>
        <w:rPr>
          <w:rFonts w:ascii="Arial Black" w:hAnsi="Arial Black"/>
          <w:color w:val="FF33CC"/>
          <w:sz w:val="48"/>
          <w:szCs w:val="48"/>
        </w:rPr>
      </w:pPr>
      <w:r w:rsidRPr="008A4B5E">
        <w:rPr>
          <w:b/>
          <w:color w:val="7F7F7F" w:themeColor="text1" w:themeTint="80"/>
          <w:sz w:val="16"/>
          <w:szCs w:val="16"/>
        </w:rPr>
        <w:t>Incontro con</w:t>
      </w:r>
      <w:r>
        <w:rPr>
          <w:b/>
          <w:color w:val="7F7F7F" w:themeColor="text1" w:themeTint="80"/>
          <w:sz w:val="24"/>
          <w:szCs w:val="24"/>
        </w:rPr>
        <w:t xml:space="preserve"> </w:t>
      </w:r>
      <w:r w:rsidRPr="008A4B5E">
        <w:rPr>
          <w:rFonts w:ascii="Arial Black" w:hAnsi="Arial Black"/>
          <w:color w:val="FF33CC"/>
          <w:sz w:val="32"/>
          <w:szCs w:val="32"/>
        </w:rPr>
        <w:t>Nunzio BEDDIA</w:t>
      </w:r>
    </w:p>
    <w:p w:rsidR="008A4B5E" w:rsidRPr="008A4B5E" w:rsidRDefault="008A4B5E" w:rsidP="00D418D4">
      <w:pPr>
        <w:spacing w:after="0" w:line="240" w:lineRule="auto"/>
        <w:ind w:left="284"/>
        <w:rPr>
          <w:b/>
          <w:color w:val="FF33CC"/>
          <w:sz w:val="24"/>
          <w:szCs w:val="24"/>
        </w:rPr>
      </w:pPr>
      <w:r w:rsidRPr="00D418D4">
        <w:rPr>
          <w:b/>
          <w:color w:val="7F7F7F" w:themeColor="text1" w:themeTint="80"/>
          <w:sz w:val="12"/>
          <w:szCs w:val="12"/>
        </w:rPr>
        <w:t xml:space="preserve">Introduce </w:t>
      </w:r>
      <w:r w:rsidRPr="008A4B5E">
        <w:rPr>
          <w:b/>
          <w:color w:val="FF33CC"/>
          <w:sz w:val="24"/>
          <w:szCs w:val="24"/>
        </w:rPr>
        <w:t xml:space="preserve">Luciano </w:t>
      </w:r>
      <w:proofErr w:type="spellStart"/>
      <w:r w:rsidRPr="008A4B5E">
        <w:rPr>
          <w:b/>
          <w:color w:val="FF33CC"/>
          <w:sz w:val="24"/>
          <w:szCs w:val="24"/>
        </w:rPr>
        <w:t>Chiazzese</w:t>
      </w:r>
      <w:proofErr w:type="spellEnd"/>
    </w:p>
    <w:p w:rsidR="008A4B5E" w:rsidRDefault="008A4B5E" w:rsidP="00D418D4">
      <w:pPr>
        <w:spacing w:after="0"/>
      </w:pPr>
    </w:p>
    <w:p w:rsidR="008A4B5E" w:rsidRPr="00D418D4" w:rsidRDefault="008A4B5E" w:rsidP="008A4B5E">
      <w:pPr>
        <w:spacing w:after="0" w:line="240" w:lineRule="auto"/>
        <w:jc w:val="center"/>
        <w:rPr>
          <w:b/>
          <w:color w:val="000000" w:themeColor="text1"/>
          <w:sz w:val="20"/>
          <w:szCs w:val="20"/>
        </w:rPr>
      </w:pPr>
      <w:r w:rsidRPr="00D418D4">
        <w:rPr>
          <w:b/>
          <w:color w:val="000000" w:themeColor="text1"/>
          <w:sz w:val="20"/>
          <w:szCs w:val="20"/>
        </w:rPr>
        <w:t>Giorni 3, 4 e 5 gennaio 2015, ore 17:30</w:t>
      </w:r>
    </w:p>
    <w:p w:rsidR="008A4B5E" w:rsidRPr="00D418D4" w:rsidRDefault="008A4B5E" w:rsidP="008A4B5E">
      <w:pPr>
        <w:pStyle w:val="Paragrafoelenco"/>
        <w:spacing w:after="100" w:afterAutospacing="1" w:line="240" w:lineRule="auto"/>
        <w:ind w:left="0"/>
        <w:jc w:val="center"/>
        <w:rPr>
          <w:b/>
          <w:color w:val="000000" w:themeColor="text1"/>
          <w:sz w:val="20"/>
          <w:szCs w:val="20"/>
        </w:rPr>
      </w:pPr>
      <w:r w:rsidRPr="00D418D4">
        <w:rPr>
          <w:b/>
          <w:color w:val="000000" w:themeColor="text1"/>
          <w:sz w:val="20"/>
          <w:szCs w:val="20"/>
        </w:rPr>
        <w:t xml:space="preserve">Centro sociale di Via Collegio, Cattolica </w:t>
      </w:r>
      <w:proofErr w:type="spellStart"/>
      <w:r w:rsidRPr="00D418D4">
        <w:rPr>
          <w:b/>
          <w:color w:val="000000" w:themeColor="text1"/>
          <w:sz w:val="20"/>
          <w:szCs w:val="20"/>
        </w:rPr>
        <w:t>Eraclea</w:t>
      </w:r>
      <w:proofErr w:type="spellEnd"/>
    </w:p>
    <w:p w:rsidR="00D418D4" w:rsidRDefault="00D418D4" w:rsidP="008A4B5E">
      <w:pPr>
        <w:pStyle w:val="Paragrafoelenco"/>
        <w:spacing w:after="100" w:afterAutospacing="1" w:line="240" w:lineRule="auto"/>
        <w:ind w:left="0"/>
        <w:jc w:val="center"/>
        <w:rPr>
          <w:b/>
          <w:color w:val="000000" w:themeColor="text1"/>
          <w:sz w:val="16"/>
          <w:szCs w:val="16"/>
        </w:rPr>
      </w:pPr>
    </w:p>
    <w:p w:rsidR="00E80458" w:rsidRDefault="00D418D4" w:rsidP="00D418D4">
      <w:pPr>
        <w:rPr>
          <w:b/>
          <w:color w:val="C4BC96" w:themeColor="background2" w:themeShade="BF"/>
          <w:sz w:val="16"/>
          <w:szCs w:val="16"/>
        </w:rPr>
      </w:pPr>
      <w:r w:rsidRPr="00D418D4">
        <w:rPr>
          <w:noProof/>
        </w:rPr>
        <w:drawing>
          <wp:inline distT="0" distB="0" distL="0" distR="0">
            <wp:extent cx="310336" cy="420789"/>
            <wp:effectExtent l="19050" t="0" r="0" b="0"/>
            <wp:docPr id="2" name="Immagine 1" descr="C:\Documents and Settings\pc\Desktop\beddia 14 dic\STEMMA x bed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beddia 14 dic\STEMMA x bed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8" cy="4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D4">
        <w:rPr>
          <w:b/>
          <w:color w:val="C4BC96" w:themeColor="background2" w:themeShade="BF"/>
          <w:sz w:val="16"/>
          <w:szCs w:val="16"/>
        </w:rPr>
        <w:t>Patrocinio</w:t>
      </w:r>
      <w:r>
        <w:rPr>
          <w:b/>
          <w:color w:val="C4BC96" w:themeColor="background2" w:themeShade="BF"/>
          <w:sz w:val="16"/>
          <w:szCs w:val="16"/>
        </w:rPr>
        <w:t xml:space="preserve"> </w:t>
      </w:r>
      <w:r w:rsidRPr="00D418D4">
        <w:rPr>
          <w:b/>
          <w:color w:val="C4BC96" w:themeColor="background2" w:themeShade="BF"/>
          <w:sz w:val="16"/>
          <w:szCs w:val="16"/>
        </w:rPr>
        <w:t xml:space="preserve"> comune di CATTOLICA ERACLEA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01"/>
      </w:tblGrid>
      <w:tr w:rsidR="008457C6" w:rsidRPr="008A4B5E" w:rsidTr="00194210">
        <w:tc>
          <w:tcPr>
            <w:tcW w:w="1384" w:type="dxa"/>
          </w:tcPr>
          <w:p w:rsidR="008457C6" w:rsidRPr="008A4B5E" w:rsidRDefault="008457C6" w:rsidP="00194210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53811" cy="281187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36" cy="28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8457C6" w:rsidRPr="008A4B5E" w:rsidRDefault="008457C6" w:rsidP="00194210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Cattolica</w:t>
            </w:r>
            <w:r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 xml:space="preserve">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Eraclea</w:t>
            </w:r>
            <w:proofErr w:type="spellEnd"/>
            <w:r w:rsidRPr="008A4B5E">
              <w:rPr>
                <w:rFonts w:ascii="Garamond" w:hAnsi="Garamond"/>
                <w:b/>
                <w:i/>
                <w:color w:val="800000"/>
                <w:spacing w:val="80"/>
                <w:sz w:val="16"/>
                <w:szCs w:val="16"/>
              </w:rPr>
              <w:t xml:space="preserve"> 2012</w:t>
            </w:r>
            <w:r>
              <w:rPr>
                <w:b/>
                <w:i/>
                <w:color w:val="808080"/>
                <w:sz w:val="16"/>
                <w:szCs w:val="16"/>
              </w:rPr>
              <w:t xml:space="preserve">               </w:t>
            </w: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</w:rPr>
              <w:t>Associazione di Cultura,</w:t>
            </w:r>
          </w:p>
          <w:p w:rsidR="008457C6" w:rsidRPr="008A4B5E" w:rsidRDefault="008457C6" w:rsidP="00194210">
            <w:pPr>
              <w:jc w:val="right"/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 xml:space="preserve"> ricreazione e promozione di Cattolica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>Eraclea</w:t>
            </w:r>
            <w:proofErr w:type="spellEnd"/>
          </w:p>
        </w:tc>
      </w:tr>
      <w:tr w:rsidR="008457C6" w:rsidRPr="008A4B5E" w:rsidTr="00194210">
        <w:tc>
          <w:tcPr>
            <w:tcW w:w="1384" w:type="dxa"/>
          </w:tcPr>
          <w:p w:rsidR="008457C6" w:rsidRPr="008A4B5E" w:rsidRDefault="008457C6" w:rsidP="00194210">
            <w:pPr>
              <w:rPr>
                <w:rFonts w:ascii="Monotype Corsiva" w:hAnsi="Monotype Corsiva"/>
                <w:b/>
                <w:i/>
                <w:noProof/>
                <w:sz w:val="16"/>
                <w:szCs w:val="16"/>
              </w:rPr>
            </w:pPr>
          </w:p>
        </w:tc>
        <w:tc>
          <w:tcPr>
            <w:tcW w:w="2801" w:type="dxa"/>
          </w:tcPr>
          <w:p w:rsidR="008457C6" w:rsidRPr="008A4B5E" w:rsidRDefault="008457C6" w:rsidP="00194210">
            <w:pPr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</w:pPr>
          </w:p>
        </w:tc>
      </w:tr>
    </w:tbl>
    <w:p w:rsidR="008457C6" w:rsidRDefault="008457C6" w:rsidP="008457C6">
      <w:pPr>
        <w:spacing w:after="0" w:line="240" w:lineRule="auto"/>
        <w:ind w:left="142"/>
        <w:jc w:val="both"/>
        <w:rPr>
          <w:color w:val="7F7F7F" w:themeColor="text1" w:themeTint="80"/>
          <w:sz w:val="12"/>
          <w:szCs w:val="12"/>
        </w:rPr>
      </w:pPr>
    </w:p>
    <w:p w:rsidR="008457C6" w:rsidRPr="009E03E5" w:rsidRDefault="008457C6" w:rsidP="008457C6">
      <w:pPr>
        <w:spacing w:after="0" w:line="240" w:lineRule="auto"/>
        <w:ind w:left="142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>Il relatore, Nunzio BEDDIA, informa e consiglia:</w:t>
      </w:r>
    </w:p>
    <w:p w:rsidR="008457C6" w:rsidRDefault="008457C6" w:rsidP="008457C6">
      <w:pPr>
        <w:spacing w:after="0" w:line="240" w:lineRule="auto"/>
        <w:ind w:left="142"/>
        <w:jc w:val="both"/>
        <w:rPr>
          <w:color w:val="7F7F7F" w:themeColor="text1" w:themeTint="80"/>
          <w:sz w:val="12"/>
          <w:szCs w:val="12"/>
        </w:rPr>
      </w:pPr>
    </w:p>
    <w:p w:rsidR="008457C6" w:rsidRDefault="008457C6" w:rsidP="008457C6">
      <w:pPr>
        <w:spacing w:after="0" w:line="240" w:lineRule="auto"/>
        <w:ind w:left="142"/>
        <w:jc w:val="both"/>
        <w:rPr>
          <w:color w:val="7F7F7F" w:themeColor="text1" w:themeTint="80"/>
          <w:sz w:val="12"/>
          <w:szCs w:val="12"/>
        </w:rPr>
      </w:pP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 xml:space="preserve">Gli incontri si svolgeranno nella seguente maniera: Nunzio </w:t>
      </w:r>
      <w:proofErr w:type="spellStart"/>
      <w:r w:rsidRPr="009E03E5">
        <w:rPr>
          <w:color w:val="7F7F7F" w:themeColor="text1" w:themeTint="80"/>
          <w:sz w:val="12"/>
          <w:szCs w:val="12"/>
        </w:rPr>
        <w:t>Beddia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introdurrà per non più di 40 minuti l’argomento e subito dopo il pubblico potrà intervenire. </w:t>
      </w: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 xml:space="preserve">Le tre serate saranno dedicate all’opera di Platone “Apologia di Socrate” (è stata o non è stata una giusta condanna quella di Socrate?), a sant’Agostino di </w:t>
      </w:r>
      <w:proofErr w:type="spellStart"/>
      <w:r w:rsidRPr="009E03E5">
        <w:rPr>
          <w:color w:val="7F7F7F" w:themeColor="text1" w:themeTint="80"/>
          <w:sz w:val="12"/>
          <w:szCs w:val="12"/>
        </w:rPr>
        <w:t>Ippona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(è stata una vittoria vera o manchevole quella ottenuta dal santo nel Concilio di </w:t>
      </w:r>
      <w:proofErr w:type="spellStart"/>
      <w:r w:rsidRPr="009E03E5">
        <w:rPr>
          <w:color w:val="7F7F7F" w:themeColor="text1" w:themeTint="80"/>
          <w:sz w:val="12"/>
          <w:szCs w:val="12"/>
        </w:rPr>
        <w:t>Cartagine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del 418 contro </w:t>
      </w:r>
      <w:proofErr w:type="spellStart"/>
      <w:r w:rsidRPr="009E03E5">
        <w:rPr>
          <w:color w:val="7F7F7F" w:themeColor="text1" w:themeTint="80"/>
          <w:sz w:val="12"/>
          <w:szCs w:val="12"/>
        </w:rPr>
        <w:t>Celestio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e </w:t>
      </w:r>
      <w:proofErr w:type="spellStart"/>
      <w:r w:rsidRPr="009E03E5">
        <w:rPr>
          <w:color w:val="7F7F7F" w:themeColor="text1" w:themeTint="80"/>
          <w:sz w:val="12"/>
          <w:szCs w:val="12"/>
        </w:rPr>
        <w:t>Pelagio</w:t>
      </w:r>
      <w:proofErr w:type="spellEnd"/>
      <w:r w:rsidRPr="009E03E5">
        <w:rPr>
          <w:color w:val="7F7F7F" w:themeColor="text1" w:themeTint="80"/>
          <w:sz w:val="12"/>
          <w:szCs w:val="12"/>
        </w:rPr>
        <w:t>?), e ai legami che intercorrono tra Agostino e Platone.</w:t>
      </w: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 xml:space="preserve">Si consiglia la lettura dell’Apologia di Socrate, e la conoscenza del decreto sul peccato originale e la grazia del Concilio di </w:t>
      </w:r>
      <w:proofErr w:type="spellStart"/>
      <w:r w:rsidRPr="009E03E5">
        <w:rPr>
          <w:color w:val="7F7F7F" w:themeColor="text1" w:themeTint="80"/>
          <w:sz w:val="12"/>
          <w:szCs w:val="12"/>
        </w:rPr>
        <w:t>Cartagine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del 418 + Epistola </w:t>
      </w:r>
      <w:proofErr w:type="spellStart"/>
      <w:r w:rsidRPr="009E03E5">
        <w:rPr>
          <w:color w:val="7F7F7F" w:themeColor="text1" w:themeTint="80"/>
          <w:sz w:val="12"/>
          <w:szCs w:val="12"/>
        </w:rPr>
        <w:t>tractoria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di papa </w:t>
      </w:r>
      <w:proofErr w:type="spellStart"/>
      <w:r w:rsidRPr="009E03E5">
        <w:rPr>
          <w:color w:val="7F7F7F" w:themeColor="text1" w:themeTint="80"/>
          <w:sz w:val="12"/>
          <w:szCs w:val="12"/>
        </w:rPr>
        <w:t>Zosimo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; il De </w:t>
      </w:r>
      <w:proofErr w:type="spellStart"/>
      <w:r w:rsidRPr="009E03E5">
        <w:rPr>
          <w:color w:val="7F7F7F" w:themeColor="text1" w:themeTint="80"/>
          <w:sz w:val="12"/>
          <w:szCs w:val="12"/>
        </w:rPr>
        <w:t>Civitate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Dei di sant’Agostino di </w:t>
      </w:r>
      <w:proofErr w:type="spellStart"/>
      <w:r w:rsidRPr="009E03E5">
        <w:rPr>
          <w:color w:val="7F7F7F" w:themeColor="text1" w:themeTint="80"/>
          <w:sz w:val="12"/>
          <w:szCs w:val="12"/>
        </w:rPr>
        <w:t>Ippona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o, di esso, almeno: libro 2° (capitoli 4, 14, 27); libro 4° (capitoli 2, 11, 27); libro 6° (capitoli 5, 6, 7, 8, 9, 10, 11, 12); l’intero libro 7°; tutto il libro 8° (che può essere chiamato Libro platonico); libro 12° (capitolo 1); libro 13° (capitoli: 3, 12, 13, 14, 15, 18, 19, 21, 23, 24); libro 18° (capitoli: 12, 13, 14, 17, 18).</w:t>
      </w: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>Opere consigliate da aggiungere a quelle già menzionate: libro 1° da “Memorabili” di Senofonte; l’</w:t>
      </w:r>
      <w:proofErr w:type="spellStart"/>
      <w:r w:rsidRPr="009E03E5">
        <w:rPr>
          <w:color w:val="7F7F7F" w:themeColor="text1" w:themeTint="80"/>
          <w:sz w:val="12"/>
          <w:szCs w:val="12"/>
        </w:rPr>
        <w:t>Eutifrone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e il 2° libro de La Repubblica, opere entrambe di Platone; la vita di Socrate, in “Vite dei filosofi” di Diogene </w:t>
      </w:r>
      <w:proofErr w:type="spellStart"/>
      <w:r w:rsidRPr="009E03E5">
        <w:rPr>
          <w:color w:val="7F7F7F" w:themeColor="text1" w:themeTint="80"/>
          <w:sz w:val="12"/>
          <w:szCs w:val="12"/>
        </w:rPr>
        <w:t>Laerzio</w:t>
      </w:r>
      <w:proofErr w:type="spellEnd"/>
      <w:r w:rsidRPr="009E03E5">
        <w:rPr>
          <w:color w:val="7F7F7F" w:themeColor="text1" w:themeTint="80"/>
          <w:sz w:val="12"/>
          <w:szCs w:val="12"/>
        </w:rPr>
        <w:t>; la commedia “Le Nuvole” di Aristofane, specie il brano riguardante il Discorso maggiore (forte, migliore o giusto) e Discorso minore (debole, peggiore o ingiusto).</w:t>
      </w: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 xml:space="preserve">I primi cinque paragrafi del “De vera religione” + il “De </w:t>
      </w:r>
      <w:proofErr w:type="spellStart"/>
      <w:r w:rsidRPr="009E03E5">
        <w:rPr>
          <w:color w:val="7F7F7F" w:themeColor="text1" w:themeTint="80"/>
          <w:sz w:val="12"/>
          <w:szCs w:val="12"/>
        </w:rPr>
        <w:t>Civitate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Dei”, di sant’Agostino + l’accenno all’incontro di Agostino col vescovo manicheo Fausto (libro V paragrafi 5,6,7, ne “Le Confessioni”); Concilio di </w:t>
      </w:r>
      <w:proofErr w:type="spellStart"/>
      <w:r w:rsidRPr="009E03E5">
        <w:rPr>
          <w:color w:val="7F7F7F" w:themeColor="text1" w:themeTint="80"/>
          <w:sz w:val="12"/>
          <w:szCs w:val="12"/>
        </w:rPr>
        <w:t>Cartagine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del 418 (decreto sul peccato originale e sulla grazia + </w:t>
      </w:r>
      <w:proofErr w:type="spellStart"/>
      <w:r w:rsidRPr="009E03E5">
        <w:rPr>
          <w:color w:val="7F7F7F" w:themeColor="text1" w:themeTint="80"/>
          <w:sz w:val="12"/>
          <w:szCs w:val="12"/>
        </w:rPr>
        <w:t>epistula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</w:t>
      </w:r>
      <w:proofErr w:type="spellStart"/>
      <w:r w:rsidRPr="009E03E5">
        <w:rPr>
          <w:color w:val="7F7F7F" w:themeColor="text1" w:themeTint="80"/>
          <w:sz w:val="12"/>
          <w:szCs w:val="12"/>
        </w:rPr>
        <w:t>tractoria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di papa </w:t>
      </w:r>
      <w:proofErr w:type="spellStart"/>
      <w:r w:rsidRPr="009E03E5">
        <w:rPr>
          <w:color w:val="7F7F7F" w:themeColor="text1" w:themeTint="80"/>
          <w:sz w:val="12"/>
          <w:szCs w:val="12"/>
        </w:rPr>
        <w:t>Zosimo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); 2° Sinodo di Orange del 529 (decreto sul peccato originale e sulla grazia + lettera di conferma di papa Bonifacio II); decreto sul peccato originale e sulla giustificazione, Concilio ecumenico di Trento, 1545-1563; i riferimenti al peccato originale del Catechismo della Chiesa Cattolica dell’11 ottobre 1992; il libro “Il </w:t>
      </w:r>
      <w:proofErr w:type="spellStart"/>
      <w:r w:rsidRPr="009E03E5">
        <w:rPr>
          <w:color w:val="7F7F7F" w:themeColor="text1" w:themeTint="80"/>
          <w:sz w:val="12"/>
          <w:szCs w:val="12"/>
        </w:rPr>
        <w:t>Kerigma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” di </w:t>
      </w:r>
      <w:proofErr w:type="spellStart"/>
      <w:r w:rsidRPr="009E03E5">
        <w:rPr>
          <w:color w:val="7F7F7F" w:themeColor="text1" w:themeTint="80"/>
          <w:sz w:val="12"/>
          <w:szCs w:val="12"/>
        </w:rPr>
        <w:t>Kiko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</w:t>
      </w:r>
      <w:proofErr w:type="spellStart"/>
      <w:r w:rsidRPr="009E03E5">
        <w:rPr>
          <w:color w:val="7F7F7F" w:themeColor="text1" w:themeTint="80"/>
          <w:sz w:val="12"/>
          <w:szCs w:val="12"/>
        </w:rPr>
        <w:t>Arguello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, edizione San Paolo 2013, (da pagina 81 a pagina 127); “La verità cattolica” di Joseph Ratzinger, su </w:t>
      </w:r>
      <w:proofErr w:type="spellStart"/>
      <w:r w:rsidRPr="009E03E5">
        <w:rPr>
          <w:color w:val="7F7F7F" w:themeColor="text1" w:themeTint="80"/>
          <w:sz w:val="12"/>
          <w:szCs w:val="12"/>
        </w:rPr>
        <w:t>MicroMega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2/2000 o su Il fondaco di </w:t>
      </w:r>
      <w:proofErr w:type="spellStart"/>
      <w:r w:rsidRPr="009E03E5">
        <w:rPr>
          <w:color w:val="7F7F7F" w:themeColor="text1" w:themeTint="80"/>
          <w:sz w:val="12"/>
          <w:szCs w:val="12"/>
        </w:rPr>
        <w:t>MicroMega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- supplemento al n.2/2005 di </w:t>
      </w:r>
      <w:proofErr w:type="spellStart"/>
      <w:r w:rsidRPr="009E03E5">
        <w:rPr>
          <w:color w:val="7F7F7F" w:themeColor="text1" w:themeTint="80"/>
          <w:sz w:val="12"/>
          <w:szCs w:val="12"/>
        </w:rPr>
        <w:t>MicroMega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(rivista bimestrale); “Il cielo e la terra”, cap. II Sul Diavolo, pag. 21, di </w:t>
      </w:r>
      <w:proofErr w:type="spellStart"/>
      <w:r w:rsidRPr="009E03E5">
        <w:rPr>
          <w:color w:val="7F7F7F" w:themeColor="text1" w:themeTint="80"/>
          <w:sz w:val="12"/>
          <w:szCs w:val="12"/>
        </w:rPr>
        <w:t>Jorge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Mario </w:t>
      </w:r>
      <w:proofErr w:type="spellStart"/>
      <w:r w:rsidRPr="009E03E5">
        <w:rPr>
          <w:color w:val="7F7F7F" w:themeColor="text1" w:themeTint="80"/>
          <w:sz w:val="12"/>
          <w:szCs w:val="12"/>
        </w:rPr>
        <w:t>Bergoglio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(Papa Francesco) e A. </w:t>
      </w:r>
      <w:proofErr w:type="spellStart"/>
      <w:r w:rsidRPr="009E03E5">
        <w:rPr>
          <w:color w:val="7F7F7F" w:themeColor="text1" w:themeTint="80"/>
          <w:sz w:val="12"/>
          <w:szCs w:val="12"/>
        </w:rPr>
        <w:t>Skorka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;  la “lettera sull’Astrologia”, di </w:t>
      </w:r>
      <w:proofErr w:type="spellStart"/>
      <w:r w:rsidRPr="009E03E5">
        <w:rPr>
          <w:color w:val="7F7F7F" w:themeColor="text1" w:themeTint="80"/>
          <w:sz w:val="12"/>
          <w:szCs w:val="12"/>
        </w:rPr>
        <w:t>Maimonide</w:t>
      </w:r>
      <w:proofErr w:type="spellEnd"/>
      <w:r w:rsidRPr="009E03E5">
        <w:rPr>
          <w:color w:val="7F7F7F" w:themeColor="text1" w:themeTint="80"/>
          <w:sz w:val="12"/>
          <w:szCs w:val="12"/>
        </w:rPr>
        <w:t>;  Il libro di Giobbe.</w:t>
      </w:r>
    </w:p>
    <w:p w:rsidR="008457C6" w:rsidRPr="009E03E5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 xml:space="preserve">Di San Paolo Apostolo si ritiene indispensabile lettera ai Romani, e di essa in modo speciale il capitolo quinto versetti 12-21, il capitolo ottavo versetti 19-23, capitolo 1, </w:t>
      </w:r>
      <w:proofErr w:type="spellStart"/>
      <w:r w:rsidRPr="009E03E5">
        <w:rPr>
          <w:color w:val="7F7F7F" w:themeColor="text1" w:themeTint="80"/>
          <w:sz w:val="12"/>
          <w:szCs w:val="12"/>
        </w:rPr>
        <w:t>vv</w:t>
      </w:r>
      <w:proofErr w:type="spellEnd"/>
      <w:r w:rsidRPr="009E03E5">
        <w:rPr>
          <w:color w:val="7F7F7F" w:themeColor="text1" w:themeTint="80"/>
          <w:sz w:val="12"/>
          <w:szCs w:val="12"/>
        </w:rPr>
        <w:t>. 18-25.</w:t>
      </w:r>
    </w:p>
    <w:p w:rsidR="008457C6" w:rsidRDefault="008457C6" w:rsidP="008457C6">
      <w:pPr>
        <w:spacing w:after="0" w:line="240" w:lineRule="auto"/>
        <w:ind w:left="142" w:firstLine="284"/>
        <w:jc w:val="both"/>
        <w:rPr>
          <w:color w:val="7F7F7F" w:themeColor="text1" w:themeTint="80"/>
          <w:sz w:val="12"/>
          <w:szCs w:val="12"/>
        </w:rPr>
      </w:pPr>
      <w:r w:rsidRPr="009E03E5">
        <w:rPr>
          <w:color w:val="7F7F7F" w:themeColor="text1" w:themeTint="80"/>
          <w:sz w:val="12"/>
          <w:szCs w:val="12"/>
        </w:rPr>
        <w:t>Per quanto riguarda il Mito presso i Greci, si consiglia un manuale qualsiasi di mitologia; i libri 9-12 dell’Odissea di Omero; la Teogonia di Esiodo;</w:t>
      </w:r>
    </w:p>
    <w:p w:rsidR="008457C6" w:rsidRPr="009E03E5" w:rsidRDefault="008457C6" w:rsidP="008457C6">
      <w:pPr>
        <w:spacing w:after="0" w:line="240" w:lineRule="auto"/>
        <w:ind w:left="142"/>
        <w:jc w:val="both"/>
        <w:rPr>
          <w:color w:val="7F7F7F" w:themeColor="text1" w:themeTint="80"/>
          <w:sz w:val="12"/>
          <w:szCs w:val="12"/>
        </w:rPr>
      </w:pPr>
      <w:r>
        <w:rPr>
          <w:color w:val="7F7F7F" w:themeColor="text1" w:themeTint="80"/>
          <w:sz w:val="12"/>
          <w:szCs w:val="12"/>
        </w:rPr>
        <w:t xml:space="preserve"> </w:t>
      </w:r>
      <w:r w:rsidRPr="009E03E5">
        <w:rPr>
          <w:color w:val="7F7F7F" w:themeColor="text1" w:themeTint="80"/>
          <w:sz w:val="12"/>
          <w:szCs w:val="12"/>
        </w:rPr>
        <w:t xml:space="preserve">Le Metamorfosi di Ovidio; Il Ramo d’oro di </w:t>
      </w:r>
      <w:proofErr w:type="spellStart"/>
      <w:r w:rsidRPr="009E03E5">
        <w:rPr>
          <w:color w:val="7F7F7F" w:themeColor="text1" w:themeTint="80"/>
          <w:sz w:val="12"/>
          <w:szCs w:val="12"/>
        </w:rPr>
        <w:t>Frazer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(capitolo IV e i primi tre paragrafi del capitolo XLIX); “Radici storiche dei racconti di fata” di Vladimir </w:t>
      </w:r>
      <w:proofErr w:type="spellStart"/>
      <w:r w:rsidRPr="009E03E5">
        <w:rPr>
          <w:color w:val="7F7F7F" w:themeColor="text1" w:themeTint="80"/>
          <w:sz w:val="12"/>
          <w:szCs w:val="12"/>
        </w:rPr>
        <w:t>Propp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 (capitolo quarto, paragrafo 26 dal titolo “</w:t>
      </w:r>
      <w:proofErr w:type="spellStart"/>
      <w:r w:rsidRPr="009E03E5">
        <w:rPr>
          <w:color w:val="7F7F7F" w:themeColor="text1" w:themeTint="80"/>
          <w:sz w:val="12"/>
          <w:szCs w:val="12"/>
        </w:rPr>
        <w:t>Fronte-di-rame</w:t>
      </w:r>
      <w:proofErr w:type="spellEnd"/>
      <w:r w:rsidRPr="009E03E5">
        <w:rPr>
          <w:color w:val="7F7F7F" w:themeColor="text1" w:themeTint="80"/>
          <w:sz w:val="12"/>
          <w:szCs w:val="12"/>
        </w:rPr>
        <w:t xml:space="preserve">”); Magia e poesia di Anita </w:t>
      </w:r>
      <w:proofErr w:type="spellStart"/>
      <w:r w:rsidRPr="009E03E5">
        <w:rPr>
          <w:color w:val="7F7F7F" w:themeColor="text1" w:themeTint="80"/>
          <w:sz w:val="12"/>
          <w:szCs w:val="12"/>
        </w:rPr>
        <w:t>Seppilli</w:t>
      </w:r>
      <w:proofErr w:type="spellEnd"/>
      <w:r w:rsidRPr="009E03E5">
        <w:rPr>
          <w:color w:val="7F7F7F" w:themeColor="text1" w:themeTint="80"/>
          <w:sz w:val="12"/>
          <w:szCs w:val="12"/>
        </w:rPr>
        <w:t>; “Iside e Osiride” (paragrafo 20), e paragrafo 17 (la Morte di Pan) dall’opera “Oracolo al tramonto”, opere</w:t>
      </w:r>
      <w:r w:rsidRPr="009E03E5">
        <w:rPr>
          <w:color w:val="7F7F7F" w:themeColor="text1" w:themeTint="80"/>
          <w:sz w:val="14"/>
          <w:szCs w:val="14"/>
        </w:rPr>
        <w:t xml:space="preserve"> </w:t>
      </w:r>
      <w:r w:rsidRPr="009E03E5">
        <w:rPr>
          <w:color w:val="7F7F7F" w:themeColor="text1" w:themeTint="80"/>
          <w:sz w:val="12"/>
          <w:szCs w:val="12"/>
        </w:rPr>
        <w:t xml:space="preserve">entrambe di Plutarco. </w:t>
      </w:r>
    </w:p>
    <w:p w:rsidR="008457C6" w:rsidRPr="009E03E5" w:rsidRDefault="008457C6" w:rsidP="008457C6">
      <w:pPr>
        <w:spacing w:after="0" w:line="240" w:lineRule="auto"/>
        <w:ind w:left="142"/>
        <w:jc w:val="right"/>
        <w:rPr>
          <w:i/>
          <w:color w:val="7F7F7F" w:themeColor="text1" w:themeTint="80"/>
          <w:sz w:val="12"/>
          <w:szCs w:val="12"/>
        </w:rPr>
      </w:pPr>
    </w:p>
    <w:p w:rsidR="008457C6" w:rsidRPr="009E03E5" w:rsidRDefault="008457C6" w:rsidP="008457C6">
      <w:pPr>
        <w:spacing w:after="0" w:line="240" w:lineRule="auto"/>
        <w:ind w:left="142"/>
        <w:jc w:val="right"/>
        <w:rPr>
          <w:i/>
          <w:color w:val="7F7F7F" w:themeColor="text1" w:themeTint="80"/>
          <w:sz w:val="12"/>
          <w:szCs w:val="12"/>
        </w:rPr>
      </w:pPr>
      <w:r w:rsidRPr="009E03E5">
        <w:rPr>
          <w:i/>
          <w:color w:val="7F7F7F" w:themeColor="text1" w:themeTint="80"/>
          <w:sz w:val="12"/>
          <w:szCs w:val="12"/>
        </w:rPr>
        <w:t>Alla fine di ogni incontro sarà offerto un rinfresco.</w:t>
      </w:r>
    </w:p>
    <w:p w:rsidR="008457C6" w:rsidRPr="00502D12" w:rsidRDefault="008457C6" w:rsidP="008457C6">
      <w:pPr>
        <w:spacing w:after="0" w:line="240" w:lineRule="auto"/>
        <w:ind w:left="142"/>
        <w:jc w:val="right"/>
        <w:rPr>
          <w:rFonts w:ascii="Arial Black" w:hAnsi="Arial Black"/>
          <w:color w:val="FF33CC"/>
          <w:sz w:val="20"/>
          <w:szCs w:val="20"/>
        </w:rPr>
      </w:pPr>
      <w:r w:rsidRPr="009E03E5">
        <w:rPr>
          <w:i/>
          <w:sz w:val="12"/>
          <w:szCs w:val="12"/>
        </w:rPr>
        <w:br/>
      </w:r>
      <w:r w:rsidRPr="00502D12">
        <w:rPr>
          <w:rFonts w:ascii="Edwardian Script ITC" w:hAnsi="Edwardian Script ITC"/>
          <w:b/>
          <w:i/>
          <w:color w:val="FF33CC"/>
          <w:sz w:val="20"/>
          <w:szCs w:val="20"/>
        </w:rPr>
        <w:t xml:space="preserve">Nunzio </w:t>
      </w:r>
      <w:proofErr w:type="spellStart"/>
      <w:r w:rsidRPr="00502D12">
        <w:rPr>
          <w:rFonts w:ascii="Edwardian Script ITC" w:hAnsi="Edwardian Script ITC"/>
          <w:b/>
          <w:i/>
          <w:color w:val="FF33CC"/>
          <w:sz w:val="20"/>
          <w:szCs w:val="20"/>
        </w:rPr>
        <w:t>Beddia</w:t>
      </w:r>
      <w:proofErr w:type="spellEnd"/>
    </w:p>
    <w:p w:rsidR="008457C6" w:rsidRDefault="008457C6" w:rsidP="008457C6">
      <w:pPr>
        <w:spacing w:after="0" w:line="240" w:lineRule="auto"/>
        <w:rPr>
          <w:rFonts w:ascii="Arial Black" w:hAnsi="Arial Black"/>
          <w:color w:val="FF33CC"/>
          <w:sz w:val="12"/>
          <w:szCs w:val="12"/>
        </w:rPr>
      </w:pPr>
    </w:p>
    <w:p w:rsidR="008457C6" w:rsidRDefault="008457C6" w:rsidP="008457C6">
      <w:pPr>
        <w:spacing w:after="0" w:line="240" w:lineRule="auto"/>
        <w:rPr>
          <w:rFonts w:ascii="Arial Black" w:hAnsi="Arial Black"/>
          <w:color w:val="FF33CC"/>
          <w:sz w:val="12"/>
          <w:szCs w:val="12"/>
        </w:rPr>
      </w:pPr>
    </w:p>
    <w:p w:rsidR="008457C6" w:rsidRDefault="008457C6" w:rsidP="008457C6">
      <w:pPr>
        <w:spacing w:after="0" w:line="240" w:lineRule="auto"/>
        <w:rPr>
          <w:rFonts w:ascii="Arial Black" w:hAnsi="Arial Black"/>
          <w:color w:val="FF33CC"/>
          <w:sz w:val="12"/>
          <w:szCs w:val="12"/>
        </w:rPr>
      </w:pPr>
    </w:p>
    <w:p w:rsidR="008457C6" w:rsidRPr="00D418D4" w:rsidRDefault="008457C6" w:rsidP="008457C6">
      <w:pPr>
        <w:rPr>
          <w:sz w:val="16"/>
          <w:szCs w:val="16"/>
        </w:rPr>
      </w:pPr>
      <w:r w:rsidRPr="00D418D4">
        <w:rPr>
          <w:noProof/>
        </w:rPr>
        <w:drawing>
          <wp:inline distT="0" distB="0" distL="0" distR="0">
            <wp:extent cx="310336" cy="420789"/>
            <wp:effectExtent l="19050" t="0" r="0" b="0"/>
            <wp:docPr id="6" name="Immagine 1" descr="C:\Documents and Settings\pc\Desktop\beddia 14 dic\STEMMA x bed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beddia 14 dic\STEMMA x bed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8" cy="4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D4">
        <w:rPr>
          <w:b/>
          <w:color w:val="C4BC96" w:themeColor="background2" w:themeShade="BF"/>
          <w:sz w:val="16"/>
          <w:szCs w:val="16"/>
        </w:rPr>
        <w:t>Patrocinio</w:t>
      </w:r>
      <w:r>
        <w:rPr>
          <w:b/>
          <w:color w:val="C4BC96" w:themeColor="background2" w:themeShade="BF"/>
          <w:sz w:val="16"/>
          <w:szCs w:val="16"/>
        </w:rPr>
        <w:t xml:space="preserve"> </w:t>
      </w:r>
      <w:r w:rsidRPr="00D418D4">
        <w:rPr>
          <w:b/>
          <w:color w:val="C4BC96" w:themeColor="background2" w:themeShade="BF"/>
          <w:sz w:val="16"/>
          <w:szCs w:val="16"/>
        </w:rPr>
        <w:t xml:space="preserve"> comune di CATTOLICA ERACLEA</w:t>
      </w:r>
    </w:p>
    <w:p w:rsidR="00E80458" w:rsidRDefault="00E80458">
      <w:pPr>
        <w:rPr>
          <w:b/>
          <w:color w:val="C4BC96" w:themeColor="background2" w:themeShade="BF"/>
          <w:sz w:val="16"/>
          <w:szCs w:val="16"/>
        </w:rPr>
      </w:pPr>
      <w:r>
        <w:rPr>
          <w:b/>
          <w:color w:val="C4BC96" w:themeColor="background2" w:themeShade="BF"/>
          <w:sz w:val="16"/>
          <w:szCs w:val="16"/>
        </w:rPr>
        <w:lastRenderedPageBreak/>
        <w:br w:type="page"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2801"/>
      </w:tblGrid>
      <w:tr w:rsidR="00A27383" w:rsidRPr="008A4B5E" w:rsidTr="00194210">
        <w:tc>
          <w:tcPr>
            <w:tcW w:w="1384" w:type="dxa"/>
          </w:tcPr>
          <w:p w:rsidR="00A27383" w:rsidRPr="008A4B5E" w:rsidRDefault="00A27383" w:rsidP="00194210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653811" cy="281187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336" cy="283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1" w:type="dxa"/>
          </w:tcPr>
          <w:p w:rsidR="00A27383" w:rsidRPr="008A4B5E" w:rsidRDefault="00A27383" w:rsidP="00194210">
            <w:pPr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Cattolica</w:t>
            </w:r>
            <w:r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 xml:space="preserve">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0000"/>
                <w:spacing w:val="80"/>
                <w:sz w:val="16"/>
                <w:szCs w:val="16"/>
              </w:rPr>
              <w:t>Eraclea</w:t>
            </w:r>
            <w:proofErr w:type="spellEnd"/>
            <w:r w:rsidRPr="008A4B5E">
              <w:rPr>
                <w:rFonts w:ascii="Garamond" w:hAnsi="Garamond"/>
                <w:b/>
                <w:i/>
                <w:color w:val="800000"/>
                <w:spacing w:val="80"/>
                <w:sz w:val="16"/>
                <w:szCs w:val="16"/>
              </w:rPr>
              <w:t xml:space="preserve"> 2012</w:t>
            </w:r>
            <w:r>
              <w:rPr>
                <w:b/>
                <w:i/>
                <w:color w:val="808080"/>
                <w:sz w:val="16"/>
                <w:szCs w:val="16"/>
              </w:rPr>
              <w:t xml:space="preserve">               </w:t>
            </w: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</w:rPr>
              <w:t>Associazione di Cultura,</w:t>
            </w:r>
          </w:p>
          <w:p w:rsidR="00A27383" w:rsidRPr="008A4B5E" w:rsidRDefault="00A27383" w:rsidP="00194210">
            <w:pPr>
              <w:jc w:val="right"/>
              <w:rPr>
                <w:b/>
                <w:i/>
                <w:color w:val="808080"/>
                <w:sz w:val="16"/>
                <w:szCs w:val="16"/>
              </w:rPr>
            </w:pPr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 xml:space="preserve"> ricreazione e promozione di Cattolica </w:t>
            </w:r>
            <w:proofErr w:type="spellStart"/>
            <w:r w:rsidRPr="008A4B5E">
              <w:rPr>
                <w:rFonts w:ascii="Monotype Corsiva" w:hAnsi="Monotype Corsiva"/>
                <w:b/>
                <w:i/>
                <w:color w:val="808080"/>
                <w:sz w:val="16"/>
                <w:szCs w:val="16"/>
                <w:u w:val="single"/>
              </w:rPr>
              <w:t>Eraclea</w:t>
            </w:r>
            <w:proofErr w:type="spellEnd"/>
          </w:p>
        </w:tc>
      </w:tr>
    </w:tbl>
    <w:p w:rsidR="00A27383" w:rsidRDefault="00A27383" w:rsidP="00A27383">
      <w:pPr>
        <w:spacing w:after="0" w:line="240" w:lineRule="auto"/>
        <w:rPr>
          <w:rFonts w:ascii="Arial Black" w:hAnsi="Arial Black"/>
          <w:color w:val="FF33CC"/>
          <w:sz w:val="16"/>
          <w:szCs w:val="16"/>
        </w:rPr>
      </w:pPr>
    </w:p>
    <w:p w:rsidR="00A27383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>La S.V. è invitata a partecipare</w:t>
      </w:r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>agli incontri con il</w:t>
      </w:r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 xml:space="preserve">Prof. Nunzio </w:t>
      </w:r>
      <w:proofErr w:type="spellStart"/>
      <w:r w:rsidRPr="00A71012">
        <w:rPr>
          <w:rFonts w:ascii="Edwardian Script ITC" w:hAnsi="Edwardian Script ITC"/>
          <w:b/>
          <w:color w:val="F268C1"/>
          <w:sz w:val="20"/>
          <w:szCs w:val="20"/>
        </w:rPr>
        <w:t>Beddia</w:t>
      </w:r>
      <w:proofErr w:type="spellEnd"/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>che avranno luogo nei giorni 3, 4 e 5</w:t>
      </w:r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>gennaio 2015 alle ore 17:</w:t>
      </w:r>
      <w:r>
        <w:rPr>
          <w:rFonts w:ascii="Edwardian Script ITC" w:hAnsi="Edwardian Script ITC"/>
          <w:b/>
          <w:color w:val="F268C1"/>
          <w:sz w:val="20"/>
          <w:szCs w:val="20"/>
        </w:rPr>
        <w:t>3</w:t>
      </w:r>
      <w:r w:rsidRPr="00A71012">
        <w:rPr>
          <w:rFonts w:ascii="Edwardian Script ITC" w:hAnsi="Edwardian Script ITC"/>
          <w:b/>
          <w:color w:val="F268C1"/>
          <w:sz w:val="20"/>
          <w:szCs w:val="20"/>
        </w:rPr>
        <w:t>0</w:t>
      </w:r>
    </w:p>
    <w:p w:rsidR="00A27383" w:rsidRPr="00A71012" w:rsidRDefault="00A27383" w:rsidP="00A27383">
      <w:pPr>
        <w:spacing w:after="0" w:line="360" w:lineRule="auto"/>
        <w:jc w:val="center"/>
        <w:rPr>
          <w:rFonts w:ascii="Edwardian Script ITC" w:hAnsi="Edwardian Script ITC"/>
          <w:b/>
          <w:color w:val="F268C1"/>
          <w:sz w:val="20"/>
          <w:szCs w:val="20"/>
        </w:rPr>
      </w:pPr>
      <w:r w:rsidRPr="00A71012">
        <w:rPr>
          <w:rFonts w:ascii="Edwardian Script ITC" w:hAnsi="Edwardian Script ITC"/>
          <w:b/>
          <w:color w:val="F268C1"/>
          <w:sz w:val="20"/>
          <w:szCs w:val="20"/>
        </w:rPr>
        <w:t xml:space="preserve">nei locali del centro sociale di Via Collegio, Cattolica </w:t>
      </w:r>
      <w:proofErr w:type="spellStart"/>
      <w:r w:rsidRPr="00A71012">
        <w:rPr>
          <w:rFonts w:ascii="Edwardian Script ITC" w:hAnsi="Edwardian Script ITC"/>
          <w:b/>
          <w:color w:val="F268C1"/>
          <w:sz w:val="20"/>
          <w:szCs w:val="20"/>
        </w:rPr>
        <w:t>Eraclea</w:t>
      </w:r>
      <w:proofErr w:type="spellEnd"/>
      <w:r w:rsidRPr="00A71012">
        <w:rPr>
          <w:rFonts w:ascii="Edwardian Script ITC" w:hAnsi="Edwardian Script ITC"/>
          <w:b/>
          <w:color w:val="F268C1"/>
          <w:sz w:val="20"/>
          <w:szCs w:val="20"/>
        </w:rPr>
        <w:t>.</w:t>
      </w:r>
    </w:p>
    <w:p w:rsidR="00A27383" w:rsidRDefault="00A27383" w:rsidP="00A27383">
      <w:pPr>
        <w:spacing w:after="0" w:line="240" w:lineRule="auto"/>
        <w:ind w:left="993"/>
        <w:jc w:val="center"/>
        <w:rPr>
          <w:rFonts w:ascii="Edwardian Script ITC" w:hAnsi="Edwardian Script ITC"/>
          <w:b/>
          <w:i/>
          <w:color w:val="F268C1"/>
          <w:sz w:val="16"/>
          <w:szCs w:val="16"/>
        </w:rPr>
      </w:pPr>
      <w:r w:rsidRPr="00A71012">
        <w:rPr>
          <w:rFonts w:ascii="Edwardian Script ITC" w:hAnsi="Edwardian Script ITC"/>
          <w:b/>
          <w:i/>
          <w:color w:val="7F7F7F" w:themeColor="text1" w:themeTint="80"/>
          <w:sz w:val="16"/>
          <w:szCs w:val="16"/>
        </w:rPr>
        <w:t>L’Associazione</w:t>
      </w:r>
      <w:r w:rsidR="005A1DA5">
        <w:rPr>
          <w:rFonts w:ascii="Edwardian Script ITC" w:hAnsi="Edwardian Script ITC"/>
          <w:b/>
          <w:i/>
          <w:color w:val="7F7F7F" w:themeColor="text1" w:themeTint="80"/>
          <w:sz w:val="16"/>
          <w:szCs w:val="16"/>
        </w:rPr>
        <w:t xml:space="preserve"> </w:t>
      </w:r>
      <w:r w:rsidRPr="00A71012">
        <w:rPr>
          <w:rFonts w:ascii="Edwardian Script ITC" w:hAnsi="Edwardian Script ITC"/>
          <w:b/>
          <w:i/>
          <w:color w:val="F268C1"/>
          <w:sz w:val="16"/>
          <w:szCs w:val="16"/>
        </w:rPr>
        <w:t xml:space="preserve">” Cattolica </w:t>
      </w:r>
      <w:proofErr w:type="spellStart"/>
      <w:r w:rsidRPr="00A71012">
        <w:rPr>
          <w:rFonts w:ascii="Edwardian Script ITC" w:hAnsi="Edwardian Script ITC"/>
          <w:b/>
          <w:i/>
          <w:color w:val="F268C1"/>
          <w:sz w:val="16"/>
          <w:szCs w:val="16"/>
        </w:rPr>
        <w:t>Eraclea</w:t>
      </w:r>
      <w:proofErr w:type="spellEnd"/>
      <w:r w:rsidRPr="00A71012">
        <w:rPr>
          <w:rFonts w:ascii="Edwardian Script ITC" w:hAnsi="Edwardian Script ITC"/>
          <w:b/>
          <w:i/>
          <w:color w:val="F268C1"/>
          <w:sz w:val="16"/>
          <w:szCs w:val="16"/>
        </w:rPr>
        <w:t xml:space="preserve"> 2012”</w:t>
      </w:r>
    </w:p>
    <w:p w:rsidR="005A1DA5" w:rsidRPr="005A1DA5" w:rsidRDefault="005A1DA5" w:rsidP="00A27383">
      <w:pPr>
        <w:spacing w:after="0" w:line="240" w:lineRule="auto"/>
        <w:ind w:left="993"/>
        <w:jc w:val="center"/>
        <w:rPr>
          <w:rFonts w:ascii="Edwardian Script ITC" w:hAnsi="Edwardian Script ITC"/>
          <w:b/>
          <w:i/>
          <w:color w:val="F268C1"/>
          <w:sz w:val="16"/>
          <w:szCs w:val="16"/>
        </w:rPr>
      </w:pPr>
      <w:r w:rsidRPr="005A1DA5">
        <w:rPr>
          <w:rFonts w:ascii="Edwardian Script ITC" w:hAnsi="Edwardian Script ITC"/>
          <w:b/>
          <w:i/>
          <w:color w:val="7F7F7F" w:themeColor="text1" w:themeTint="80"/>
          <w:sz w:val="16"/>
          <w:szCs w:val="16"/>
        </w:rPr>
        <w:t xml:space="preserve">Luciano </w:t>
      </w:r>
      <w:proofErr w:type="spellStart"/>
      <w:r w:rsidRPr="005A1DA5">
        <w:rPr>
          <w:rFonts w:ascii="Edwardian Script ITC" w:hAnsi="Edwardian Script ITC"/>
          <w:b/>
          <w:i/>
          <w:color w:val="7F7F7F" w:themeColor="text1" w:themeTint="80"/>
          <w:sz w:val="16"/>
          <w:szCs w:val="16"/>
        </w:rPr>
        <w:t>Chiazzese</w:t>
      </w:r>
      <w:proofErr w:type="spellEnd"/>
    </w:p>
    <w:p w:rsidR="00A27383" w:rsidRPr="001E707C" w:rsidRDefault="00A27383" w:rsidP="00A27383">
      <w:pPr>
        <w:spacing w:after="0" w:line="240" w:lineRule="auto"/>
        <w:ind w:left="993"/>
        <w:jc w:val="center"/>
        <w:rPr>
          <w:rFonts w:ascii="Edwardian Script ITC" w:hAnsi="Edwardian Script ITC"/>
          <w:b/>
          <w:i/>
          <w:color w:val="F268C1"/>
          <w:sz w:val="20"/>
          <w:szCs w:val="20"/>
        </w:rPr>
      </w:pPr>
    </w:p>
    <w:p w:rsidR="00A27383" w:rsidRDefault="00A93E58" w:rsidP="00A27383">
      <w:pPr>
        <w:spacing w:after="0" w:line="240" w:lineRule="auto"/>
        <w:jc w:val="center"/>
        <w:rPr>
          <w:i/>
        </w:rPr>
      </w:pPr>
      <w:r w:rsidRPr="00A93E58">
        <w:rPr>
          <w:noProof/>
          <w:sz w:val="16"/>
          <w:szCs w:val="1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9.5pt;margin-top:56.5pt;width:143.3pt;height:51.55pt;z-index:251660288" fillcolor="#0cf" strokecolor="navy">
            <v:shadow color="#868686"/>
            <v:textpath style="font-family:&quot;Arial Black&quot;;font-size:12pt;v-text-kern:t" trim="t" fitpath="t" string="sole, mare, natura e cultura,  &#10;aria, paese e acqua puliti"/>
          </v:shape>
        </w:pict>
      </w:r>
      <w:r w:rsidR="00A27383" w:rsidRPr="006C274D">
        <w:rPr>
          <w:i/>
          <w:noProof/>
        </w:rPr>
        <w:drawing>
          <wp:inline distT="0" distB="0" distL="0" distR="0">
            <wp:extent cx="2520315" cy="1498250"/>
            <wp:effectExtent l="19050" t="0" r="0" b="0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49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383" w:rsidRDefault="00A27383" w:rsidP="00A27383">
      <w:pPr>
        <w:spacing w:after="0" w:line="240" w:lineRule="auto"/>
        <w:jc w:val="right"/>
        <w:rPr>
          <w:i/>
          <w:color w:val="7F7F7F" w:themeColor="text1" w:themeTint="80"/>
          <w:sz w:val="14"/>
          <w:szCs w:val="14"/>
        </w:rPr>
      </w:pPr>
    </w:p>
    <w:p w:rsidR="00A27383" w:rsidRDefault="00A27383" w:rsidP="00A27383">
      <w:pPr>
        <w:spacing w:after="0" w:line="240" w:lineRule="auto"/>
        <w:jc w:val="right"/>
        <w:rPr>
          <w:i/>
          <w:color w:val="7F7F7F" w:themeColor="text1" w:themeTint="80"/>
          <w:sz w:val="14"/>
          <w:szCs w:val="14"/>
        </w:rPr>
      </w:pPr>
      <w:r w:rsidRPr="00A71012">
        <w:rPr>
          <w:i/>
          <w:color w:val="7F7F7F" w:themeColor="text1" w:themeTint="80"/>
          <w:sz w:val="14"/>
          <w:szCs w:val="14"/>
        </w:rPr>
        <w:t>La memoria conta veramente, per gli individui</w:t>
      </w:r>
      <w:r>
        <w:rPr>
          <w:i/>
          <w:color w:val="7F7F7F" w:themeColor="text1" w:themeTint="80"/>
          <w:sz w:val="14"/>
          <w:szCs w:val="14"/>
        </w:rPr>
        <w:t xml:space="preserve"> e la collettività, </w:t>
      </w:r>
    </w:p>
    <w:p w:rsidR="00A27383" w:rsidRPr="00A71012" w:rsidRDefault="00A27383" w:rsidP="00A27383">
      <w:pPr>
        <w:spacing w:after="0" w:line="240" w:lineRule="auto"/>
        <w:jc w:val="right"/>
        <w:rPr>
          <w:rFonts w:ascii="Monotype Corsiva" w:hAnsi="Monotype Corsiva"/>
          <w:i/>
          <w:color w:val="7F7F7F" w:themeColor="text1" w:themeTint="80"/>
          <w:sz w:val="14"/>
          <w:szCs w:val="14"/>
        </w:rPr>
      </w:pPr>
      <w:r w:rsidRPr="00A71012">
        <w:rPr>
          <w:i/>
          <w:color w:val="7F7F7F" w:themeColor="text1" w:themeTint="80"/>
          <w:sz w:val="14"/>
          <w:szCs w:val="14"/>
        </w:rPr>
        <w:t>solo se si tiene insieme l’impronta del passato e il progetto del futuro</w:t>
      </w:r>
    </w:p>
    <w:p w:rsidR="00A27383" w:rsidRPr="00A71012" w:rsidRDefault="00A27383" w:rsidP="00A27383">
      <w:pPr>
        <w:spacing w:after="0"/>
        <w:ind w:right="-478"/>
        <w:jc w:val="right"/>
        <w:rPr>
          <w:rFonts w:ascii="Monotype Corsiva" w:hAnsi="Monotype Corsiva"/>
          <w:b/>
          <w:i/>
          <w:color w:val="7F7F7F" w:themeColor="text1" w:themeTint="80"/>
          <w:sz w:val="14"/>
          <w:szCs w:val="14"/>
        </w:rPr>
      </w:pPr>
    </w:p>
    <w:p w:rsidR="00A27383" w:rsidRPr="00A71012" w:rsidRDefault="00A27383" w:rsidP="00A27383">
      <w:pPr>
        <w:spacing w:line="240" w:lineRule="auto"/>
        <w:ind w:right="423" w:firstLine="600"/>
        <w:jc w:val="both"/>
        <w:rPr>
          <w:b/>
          <w:i/>
          <w:color w:val="7F7F7F" w:themeColor="text1" w:themeTint="80"/>
          <w:sz w:val="14"/>
          <w:szCs w:val="14"/>
        </w:rPr>
      </w:pPr>
      <w:r w:rsidRPr="00A71012">
        <w:rPr>
          <w:i/>
          <w:color w:val="7F7F7F" w:themeColor="text1" w:themeTint="80"/>
          <w:sz w:val="14"/>
          <w:szCs w:val="14"/>
        </w:rPr>
        <w:t>Sentiamo il dovere di non disperdere la nostra identità che rimane l’imperativo categorico cui bisogna raccordarsi perché riteniamo che è in ogni cuore in cui batte forte l’amore per questa piccola porzione di terra di Sicilia, anche senza la memoria dell’esservi mai stati, che si nutre sempre l’originale personalità e l’identità di ognuno e vi rimane forte l’interesse verso la propria terra alla quale si appartiene sempre.</w:t>
      </w:r>
      <w:r w:rsidRPr="00A71012">
        <w:rPr>
          <w:b/>
          <w:i/>
          <w:color w:val="7F7F7F" w:themeColor="text1" w:themeTint="80"/>
          <w:sz w:val="14"/>
          <w:szCs w:val="14"/>
        </w:rPr>
        <w:t xml:space="preserve"> </w:t>
      </w:r>
    </w:p>
    <w:p w:rsidR="00A27383" w:rsidRPr="00D418D4" w:rsidRDefault="00A27383" w:rsidP="00A27383">
      <w:pPr>
        <w:rPr>
          <w:sz w:val="16"/>
          <w:szCs w:val="16"/>
        </w:rPr>
      </w:pPr>
      <w:r w:rsidRPr="00D418D4">
        <w:rPr>
          <w:noProof/>
        </w:rPr>
        <w:drawing>
          <wp:inline distT="0" distB="0" distL="0" distR="0">
            <wp:extent cx="310336" cy="420789"/>
            <wp:effectExtent l="19050" t="0" r="0" b="0"/>
            <wp:docPr id="3" name="Immagine 1" descr="C:\Documents and Settings\pc\Desktop\beddia 14 dic\STEMMA x bed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esktop\beddia 14 dic\STEMMA x bed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68" cy="42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18D4">
        <w:rPr>
          <w:b/>
          <w:color w:val="C4BC96" w:themeColor="background2" w:themeShade="BF"/>
          <w:sz w:val="16"/>
          <w:szCs w:val="16"/>
        </w:rPr>
        <w:t>Patrocinio</w:t>
      </w:r>
      <w:r>
        <w:rPr>
          <w:b/>
          <w:color w:val="C4BC96" w:themeColor="background2" w:themeShade="BF"/>
          <w:sz w:val="16"/>
          <w:szCs w:val="16"/>
        </w:rPr>
        <w:t xml:space="preserve"> </w:t>
      </w:r>
      <w:r w:rsidRPr="00D418D4">
        <w:rPr>
          <w:b/>
          <w:color w:val="C4BC96" w:themeColor="background2" w:themeShade="BF"/>
          <w:sz w:val="16"/>
          <w:szCs w:val="16"/>
        </w:rPr>
        <w:t xml:space="preserve"> comune di CATTOLICA ERACLEA</w:t>
      </w:r>
    </w:p>
    <w:p w:rsidR="008A4B5E" w:rsidRPr="00D418D4" w:rsidRDefault="008A4B5E" w:rsidP="00D418D4">
      <w:pPr>
        <w:rPr>
          <w:sz w:val="16"/>
          <w:szCs w:val="16"/>
        </w:rPr>
      </w:pPr>
    </w:p>
    <w:sectPr w:rsidR="008A4B5E" w:rsidRPr="00D418D4" w:rsidSect="008A4B5E">
      <w:pgSz w:w="6237" w:h="12474" w:code="2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657B"/>
    <w:multiLevelType w:val="hybridMultilevel"/>
    <w:tmpl w:val="86F4C060"/>
    <w:lvl w:ilvl="0" w:tplc="5270136C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8A4B5E"/>
    <w:rsid w:val="00072F76"/>
    <w:rsid w:val="00101E34"/>
    <w:rsid w:val="001A2B38"/>
    <w:rsid w:val="003F04A0"/>
    <w:rsid w:val="00502D12"/>
    <w:rsid w:val="005255FE"/>
    <w:rsid w:val="005A1DA5"/>
    <w:rsid w:val="007D44E0"/>
    <w:rsid w:val="008457C6"/>
    <w:rsid w:val="008A4B5E"/>
    <w:rsid w:val="00A12EA8"/>
    <w:rsid w:val="00A27383"/>
    <w:rsid w:val="00A93E58"/>
    <w:rsid w:val="00B40743"/>
    <w:rsid w:val="00B52CB2"/>
    <w:rsid w:val="00D418D4"/>
    <w:rsid w:val="00E22029"/>
    <w:rsid w:val="00E80458"/>
    <w:rsid w:val="00FE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55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4B5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A4B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Dracula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4</cp:revision>
  <dcterms:created xsi:type="dcterms:W3CDTF">2014-12-17T13:21:00Z</dcterms:created>
  <dcterms:modified xsi:type="dcterms:W3CDTF">2014-12-17T13:28:00Z</dcterms:modified>
</cp:coreProperties>
</file>